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pPr>
      <w:bookmarkStart w:colFirst="0" w:colLast="0" w:name="h.gjdgxs" w:id="0"/>
      <w:bookmarkEnd w:id="0"/>
      <w:r w:rsidDel="00000000" w:rsidR="00000000" w:rsidRPr="00000000">
        <w:rPr>
          <w:rtl w:val="0"/>
        </w:rPr>
      </w:r>
    </w:p>
    <w:p w:rsidR="00000000" w:rsidDel="00000000" w:rsidP="00000000" w:rsidRDefault="00000000" w:rsidRPr="00000000">
      <w:pPr>
        <w:spacing w:line="240" w:lineRule="auto"/>
        <w:contextualSpacing w:val="0"/>
        <w:jc w:val="center"/>
      </w:pPr>
      <w:bookmarkStart w:colFirst="0" w:colLast="0" w:name="h.i45x81z7efi9" w:id="1"/>
      <w:bookmarkEnd w:id="1"/>
      <w:r w:rsidDel="00000000" w:rsidR="00000000" w:rsidRPr="00000000">
        <w:rPr>
          <w:rFonts w:ascii="Arial" w:cs="Arial" w:eastAsia="Arial" w:hAnsi="Arial"/>
          <w:b w:val="1"/>
          <w:sz w:val="28"/>
          <w:szCs w:val="28"/>
          <w:rtl w:val="0"/>
        </w:rPr>
        <w:t xml:space="preserve">Humanitarian Exchange Language Kiosk</w:t>
        <w:br w:type="textWrapping"/>
        <w:t xml:space="preserve">12 March 2016</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tbl>
      <w:tblPr>
        <w:tblStyle w:val="Table1"/>
        <w:bidi w:val="0"/>
        <w:tblW w:w="10671.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56"/>
        <w:gridCol w:w="4950"/>
        <w:gridCol w:w="3465"/>
        <w:tblGridChange w:id="0">
          <w:tblGrid>
            <w:gridCol w:w="2256"/>
            <w:gridCol w:w="4950"/>
            <w:gridCol w:w="3465"/>
          </w:tblGrid>
        </w:tblGridChange>
      </w:tblGrid>
      <w:tr>
        <w:tc>
          <w:tcPr/>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Arial" w:cs="Arial" w:eastAsia="Arial" w:hAnsi="Arial"/>
                <w:sz w:val="20"/>
                <w:szCs w:val="20"/>
                <w:rtl w:val="0"/>
              </w:rPr>
              <w:t xml:space="preserve">Kiosk Objective</w:t>
            </w:r>
          </w:p>
          <w:p w:rsidR="00000000" w:rsidDel="00000000" w:rsidP="00000000" w:rsidRDefault="00000000" w:rsidRPr="00000000">
            <w:pPr>
              <w:spacing w:line="360" w:lineRule="auto"/>
              <w:contextualSpacing w:val="0"/>
            </w:pPr>
            <w:r w:rsidDel="00000000" w:rsidR="00000000" w:rsidRPr="00000000">
              <w:rPr>
                <w:rtl w:val="0"/>
              </w:rPr>
            </w:r>
          </w:p>
        </w:tc>
        <w:tc>
          <w:tcPr>
            <w:gridSpan w:val="2"/>
          </w:tcPr>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The participants will also have a general introduction HXL, understand how to HXL their data using available guidance (postcard and website), be introduced to HXL proxy tools and begin HXL-ating their 3W data.</w:t>
            </w:r>
          </w:p>
        </w:tc>
      </w:tr>
      <w:tr>
        <w:tc>
          <w:tcPr/>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Arial" w:cs="Arial" w:eastAsia="Arial" w:hAnsi="Arial"/>
                <w:sz w:val="20"/>
                <w:szCs w:val="20"/>
                <w:rtl w:val="0"/>
              </w:rPr>
              <w:t xml:space="preserve">Learning outcomes</w:t>
            </w:r>
          </w:p>
          <w:p w:rsidR="00000000" w:rsidDel="00000000" w:rsidP="00000000" w:rsidRDefault="00000000" w:rsidRPr="00000000">
            <w:pPr>
              <w:spacing w:line="360" w:lineRule="auto"/>
              <w:contextualSpacing w:val="0"/>
            </w:pPr>
            <w:r w:rsidDel="00000000" w:rsidR="00000000" w:rsidRPr="00000000">
              <w:rPr>
                <w:rFonts w:ascii="Arial" w:cs="Arial" w:eastAsia="Arial" w:hAnsi="Arial"/>
                <w:sz w:val="20"/>
                <w:szCs w:val="20"/>
                <w:rtl w:val="0"/>
              </w:rPr>
              <w:t xml:space="preserve">(3-5 learning outcomes)</w:t>
            </w:r>
          </w:p>
          <w:p w:rsidR="00000000" w:rsidDel="00000000" w:rsidP="00000000" w:rsidRDefault="00000000" w:rsidRPr="00000000">
            <w:pPr>
              <w:spacing w:line="360" w:lineRule="auto"/>
              <w:contextualSpacing w:val="0"/>
            </w:pPr>
            <w:r w:rsidDel="00000000" w:rsidR="00000000" w:rsidRPr="00000000">
              <w:rPr>
                <w:rtl w:val="0"/>
              </w:rPr>
            </w:r>
          </w:p>
        </w:tc>
        <w:tc>
          <w:tcPr>
            <w:gridSpan w:val="2"/>
          </w:tcPr>
          <w:p w:rsidR="00000000" w:rsidDel="00000000" w:rsidP="00000000" w:rsidRDefault="00000000" w:rsidRPr="00000000">
            <w:pPr>
              <w:spacing w:line="360" w:lineRule="auto"/>
              <w:ind w:left="36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360" w:lineRule="auto"/>
              <w:ind w:left="720" w:hanging="360"/>
              <w:contextualSpacing w:val="1"/>
              <w:rPr>
                <w:b w:val="0"/>
                <w:sz w:val="20"/>
                <w:szCs w:val="20"/>
              </w:rPr>
            </w:pPr>
            <w:r w:rsidDel="00000000" w:rsidR="00000000" w:rsidRPr="00000000">
              <w:rPr>
                <w:rFonts w:ascii="Arial" w:cs="Arial" w:eastAsia="Arial" w:hAnsi="Arial"/>
                <w:sz w:val="20"/>
                <w:szCs w:val="20"/>
                <w:rtl w:val="0"/>
              </w:rPr>
              <w:t xml:space="preserve">Learn how to use the HXL postcard (and website)</w:t>
            </w:r>
            <w:r w:rsidDel="00000000" w:rsidR="00000000" w:rsidRPr="00000000">
              <w:rPr>
                <w:rFonts w:ascii="Arial" w:cs="Arial" w:eastAsia="Arial" w:hAnsi="Arial"/>
                <w:b w:val="0"/>
                <w:sz w:val="20"/>
                <w:szCs w:val="20"/>
                <w:rtl w:val="0"/>
              </w:rPr>
              <w:t xml:space="preserve"> </w:t>
            </w:r>
          </w:p>
          <w:p w:rsidR="00000000" w:rsidDel="00000000" w:rsidP="00000000" w:rsidRDefault="00000000" w:rsidRPr="00000000">
            <w:pPr>
              <w:numPr>
                <w:ilvl w:val="0"/>
                <w:numId w:val="1"/>
              </w:numPr>
              <w:spacing w:after="0" w:before="0" w:line="360" w:lineRule="auto"/>
              <w:ind w:left="720" w:hanging="360"/>
              <w:contextualSpacing w:val="1"/>
              <w:rPr>
                <w:b w:val="0"/>
                <w:sz w:val="20"/>
                <w:szCs w:val="20"/>
              </w:rPr>
            </w:pPr>
            <w:r w:rsidDel="00000000" w:rsidR="00000000" w:rsidRPr="00000000">
              <w:rPr>
                <w:rFonts w:ascii="Arial" w:cs="Arial" w:eastAsia="Arial" w:hAnsi="Arial"/>
                <w:sz w:val="20"/>
                <w:szCs w:val="20"/>
                <w:rtl w:val="0"/>
              </w:rPr>
              <w:t xml:space="preserve">Tag their 3W data with HXL codes</w:t>
            </w:r>
            <w:r w:rsidDel="00000000" w:rsidR="00000000" w:rsidRPr="00000000">
              <w:rPr>
                <w:rFonts w:ascii="Arial" w:cs="Arial" w:eastAsia="Arial" w:hAnsi="Arial"/>
                <w:b w:val="0"/>
                <w:sz w:val="20"/>
                <w:szCs w:val="20"/>
                <w:rtl w:val="0"/>
              </w:rPr>
              <w:t xml:space="preserve"> </w:t>
            </w:r>
          </w:p>
          <w:p w:rsidR="00000000" w:rsidDel="00000000" w:rsidP="00000000" w:rsidRDefault="00000000" w:rsidRPr="00000000">
            <w:pPr>
              <w:numPr>
                <w:ilvl w:val="0"/>
                <w:numId w:val="1"/>
              </w:numPr>
              <w:spacing w:after="0" w:before="0" w:line="360" w:lineRule="auto"/>
              <w:ind w:left="720" w:hanging="360"/>
              <w:contextualSpacing w:val="1"/>
              <w:rPr>
                <w:b w:val="0"/>
                <w:sz w:val="20"/>
                <w:szCs w:val="20"/>
              </w:rPr>
            </w:pPr>
            <w:r w:rsidDel="00000000" w:rsidR="00000000" w:rsidRPr="00000000">
              <w:rPr>
                <w:rFonts w:ascii="Arial" w:cs="Arial" w:eastAsia="Arial" w:hAnsi="Arial"/>
                <w:sz w:val="20"/>
                <w:szCs w:val="20"/>
                <w:rtl w:val="0"/>
              </w:rPr>
              <w:t xml:space="preserve">Understand how such tags will aid in online HXL visualizations</w:t>
            </w:r>
            <w:r w:rsidDel="00000000" w:rsidR="00000000" w:rsidRPr="00000000">
              <w:rPr>
                <w:rFonts w:ascii="Arial" w:cs="Arial" w:eastAsia="Arial" w:hAnsi="Arial"/>
                <w:b w:val="0"/>
                <w:sz w:val="20"/>
                <w:szCs w:val="20"/>
                <w:rtl w:val="0"/>
              </w:rPr>
              <w:t xml:space="preserve"> </w:t>
            </w:r>
          </w:p>
          <w:p w:rsidR="00000000" w:rsidDel="00000000" w:rsidP="00000000" w:rsidRDefault="00000000" w:rsidRPr="00000000">
            <w:pPr>
              <w:numPr>
                <w:ilvl w:val="0"/>
                <w:numId w:val="1"/>
              </w:numPr>
              <w:spacing w:after="200" w:before="0" w:line="360" w:lineRule="auto"/>
              <w:ind w:left="720" w:hanging="360"/>
              <w:contextualSpacing w:val="1"/>
              <w:rPr>
                <w:b w:val="0"/>
                <w:sz w:val="20"/>
                <w:szCs w:val="20"/>
              </w:rPr>
            </w:pPr>
            <w:r w:rsidDel="00000000" w:rsidR="00000000" w:rsidRPr="00000000">
              <w:rPr>
                <w:rFonts w:ascii="Arial" w:cs="Arial" w:eastAsia="Arial" w:hAnsi="Arial"/>
                <w:sz w:val="20"/>
                <w:szCs w:val="20"/>
                <w:rtl w:val="0"/>
              </w:rPr>
              <w:t xml:space="preserve">Know where HXL proxy tools are located </w:t>
            </w:r>
            <w:r w:rsidDel="00000000" w:rsidR="00000000" w:rsidRPr="00000000">
              <w:rPr>
                <w:rtl w:val="0"/>
              </w:rPr>
            </w:r>
          </w:p>
        </w:tc>
      </w:tr>
      <w:tr>
        <w:trPr>
          <w:trHeight w:val="1040" w:hRule="atLeast"/>
        </w:trPr>
        <w:tc>
          <w:tcPr/>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Arial" w:cs="Arial" w:eastAsia="Arial" w:hAnsi="Arial"/>
                <w:sz w:val="20"/>
                <w:szCs w:val="20"/>
                <w:rtl w:val="0"/>
              </w:rPr>
              <w:t xml:space="preserve">Levels required</w:t>
            </w:r>
          </w:p>
        </w:tc>
        <w:tc>
          <w:tcPr/>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Arial" w:cs="Arial" w:eastAsia="Arial" w:hAnsi="Arial"/>
                <w:sz w:val="20"/>
                <w:szCs w:val="20"/>
                <w:rtl w:val="0"/>
              </w:rPr>
              <w:t xml:space="preserve">No</w:t>
            </w:r>
          </w:p>
        </w:tc>
        <w:tc>
          <w:tcPr/>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tc>
      </w:tr>
      <w:tr>
        <w:tc>
          <w:tcPr/>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Arial" w:cs="Arial" w:eastAsia="Arial" w:hAnsi="Arial"/>
                <w:sz w:val="20"/>
                <w:szCs w:val="20"/>
                <w:rtl w:val="0"/>
              </w:rPr>
              <w:t xml:space="preserve">Resources required </w:t>
            </w:r>
          </w:p>
        </w:tc>
        <w:tc>
          <w:tcPr>
            <w:gridSpan w:val="2"/>
          </w:tcPr>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Arial" w:cs="Arial" w:eastAsia="Arial" w:hAnsi="Arial"/>
                <w:sz w:val="20"/>
                <w:szCs w:val="20"/>
                <w:rtl w:val="0"/>
              </w:rPr>
              <w:t xml:space="preserve">Participants: Internet, laptops, Excel or Google docs</w:t>
            </w:r>
          </w:p>
          <w:p w:rsidR="00000000" w:rsidDel="00000000" w:rsidP="00000000" w:rsidRDefault="00000000" w:rsidRPr="00000000">
            <w:pPr>
              <w:spacing w:line="360" w:lineRule="auto"/>
              <w:contextualSpacing w:val="0"/>
            </w:pPr>
            <w:r w:rsidDel="00000000" w:rsidR="00000000" w:rsidRPr="00000000">
              <w:rPr>
                <w:rFonts w:ascii="Arial" w:cs="Arial" w:eastAsia="Arial" w:hAnsi="Arial"/>
                <w:sz w:val="20"/>
                <w:szCs w:val="20"/>
                <w:rtl w:val="0"/>
              </w:rPr>
              <w:t xml:space="preserve">Manager: projector &amp; screen, sample data, </w:t>
            </w:r>
            <w:hyperlink r:id="rId5">
              <w:r w:rsidDel="00000000" w:rsidR="00000000" w:rsidRPr="00000000">
                <w:rPr>
                  <w:rFonts w:ascii="Arial" w:cs="Arial" w:eastAsia="Arial" w:hAnsi="Arial"/>
                  <w:color w:val="1155cc"/>
                  <w:sz w:val="20"/>
                  <w:szCs w:val="20"/>
                  <w:u w:val="single"/>
                  <w:rtl w:val="0"/>
                </w:rPr>
                <w:t xml:space="preserve">quiz</w:t>
              </w:r>
            </w:hyperlink>
            <w:r w:rsidDel="00000000" w:rsidR="00000000" w:rsidRPr="00000000">
              <w:rPr>
                <w:rFonts w:ascii="Arial" w:cs="Arial" w:eastAsia="Arial" w:hAnsi="Arial"/>
                <w:sz w:val="20"/>
                <w:szCs w:val="20"/>
                <w:rtl w:val="0"/>
              </w:rPr>
              <w:t xml:space="preserve"> (printed), HXL postcards, </w:t>
            </w:r>
            <w:hyperlink r:id="rId6">
              <w:r w:rsidDel="00000000" w:rsidR="00000000" w:rsidRPr="00000000">
                <w:rPr>
                  <w:rFonts w:ascii="Arial" w:cs="Arial" w:eastAsia="Arial" w:hAnsi="Arial"/>
                  <w:color w:val="1155cc"/>
                  <w:sz w:val="20"/>
                  <w:szCs w:val="20"/>
                  <w:u w:val="single"/>
                  <w:rtl w:val="0"/>
                </w:rPr>
                <w:t xml:space="preserve">HXL Proxy demo scripts</w:t>
              </w:r>
            </w:hyperlink>
            <w:r w:rsidDel="00000000" w:rsidR="00000000" w:rsidRPr="00000000">
              <w:rPr>
                <w:rFonts w:ascii="Arial" w:cs="Arial" w:eastAsia="Arial" w:hAnsi="Arial"/>
                <w:sz w:val="20"/>
                <w:szCs w:val="20"/>
                <w:rtl w:val="0"/>
              </w:rPr>
              <w:t xml:space="preserve"> (printed), </w:t>
            </w:r>
            <w:hyperlink r:id="rId7">
              <w:r w:rsidDel="00000000" w:rsidR="00000000" w:rsidRPr="00000000">
                <w:rPr>
                  <w:rFonts w:ascii="Arial" w:cs="Arial" w:eastAsia="Arial" w:hAnsi="Arial"/>
                  <w:color w:val="1155cc"/>
                  <w:sz w:val="20"/>
                  <w:szCs w:val="20"/>
                  <w:u w:val="single"/>
                  <w:rtl w:val="0"/>
                </w:rPr>
                <w:t xml:space="preserve">3W Data for Proxy Demo</w:t>
              </w:r>
            </w:hyperlink>
            <w:r w:rsidDel="00000000" w:rsidR="00000000" w:rsidRPr="00000000">
              <w:rPr>
                <w:rFonts w:ascii="Arial" w:cs="Arial" w:eastAsia="Arial" w:hAnsi="Arial"/>
                <w:sz w:val="20"/>
                <w:szCs w:val="20"/>
                <w:rtl w:val="0"/>
              </w:rPr>
              <w:t xml:space="preserve">, </w:t>
            </w:r>
            <w:hyperlink r:id="rId8">
              <w:r w:rsidDel="00000000" w:rsidR="00000000" w:rsidRPr="00000000">
                <w:rPr>
                  <w:rFonts w:ascii="Arial" w:cs="Arial" w:eastAsia="Arial" w:hAnsi="Arial"/>
                  <w:color w:val="1155cc"/>
                  <w:sz w:val="20"/>
                  <w:szCs w:val="20"/>
                  <w:u w:val="single"/>
                  <w:rtl w:val="0"/>
                </w:rPr>
                <w:t xml:space="preserve">Guinea Ebola 3W Schema</w:t>
              </w:r>
            </w:hyperlink>
            <w:r w:rsidDel="00000000" w:rsidR="00000000" w:rsidRPr="00000000">
              <w:rPr>
                <w:rFonts w:ascii="Arial" w:cs="Arial" w:eastAsia="Arial" w:hAnsi="Arial"/>
                <w:sz w:val="20"/>
                <w:szCs w:val="20"/>
                <w:rtl w:val="0"/>
              </w:rPr>
              <w:t xml:space="preserve">, </w:t>
            </w:r>
            <w:hyperlink r:id="rId9">
              <w:r w:rsidDel="00000000" w:rsidR="00000000" w:rsidRPr="00000000">
                <w:rPr>
                  <w:rFonts w:ascii="Arial" w:cs="Arial" w:eastAsia="Arial" w:hAnsi="Arial"/>
                  <w:color w:val="1155cc"/>
                  <w:sz w:val="20"/>
                  <w:szCs w:val="20"/>
                  <w:u w:val="single"/>
                  <w:rtl w:val="0"/>
                </w:rPr>
                <w:t xml:space="preserve">presentation</w:t>
              </w:r>
            </w:hyperlink>
            <w:r w:rsidDel="00000000" w:rsidR="00000000" w:rsidRPr="00000000">
              <w:rPr>
                <w:rtl w:val="0"/>
              </w:rPr>
            </w:r>
          </w:p>
        </w:tc>
      </w:tr>
      <w:tr>
        <w:tc>
          <w:tcPr/>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Arial" w:cs="Arial" w:eastAsia="Arial" w:hAnsi="Arial"/>
                <w:sz w:val="20"/>
                <w:szCs w:val="20"/>
                <w:rtl w:val="0"/>
              </w:rPr>
              <w:t xml:space="preserve">Prep from participants </w:t>
            </w:r>
          </w:p>
        </w:tc>
        <w:tc>
          <w:tcPr>
            <w:gridSpan w:val="2"/>
          </w:tcPr>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numPr>
                <w:ilvl w:val="0"/>
                <w:numId w:val="3"/>
              </w:numPr>
              <w:spacing w:after="0" w:before="0" w:line="360" w:lineRule="auto"/>
              <w:ind w:left="720" w:hanging="360"/>
              <w:contextualSpacing w:val="1"/>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Download 3W files</w:t>
            </w:r>
            <w:r w:rsidDel="00000000" w:rsidR="00000000" w:rsidRPr="00000000">
              <w:rPr>
                <w:rFonts w:ascii="Arial" w:cs="Arial" w:eastAsia="Arial" w:hAnsi="Arial"/>
                <w:sz w:val="20"/>
                <w:szCs w:val="20"/>
                <w:rtl w:val="0"/>
              </w:rPr>
              <w:t xml:space="preserve"> onto your local machine</w:t>
            </w:r>
          </w:p>
          <w:p w:rsidR="00000000" w:rsidDel="00000000" w:rsidP="00000000" w:rsidRDefault="00000000" w:rsidRPr="00000000">
            <w:pPr>
              <w:numPr>
                <w:ilvl w:val="0"/>
                <w:numId w:val="3"/>
              </w:numPr>
              <w:spacing w:after="0" w:before="0" w:line="36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Bring HXL postcards (if already handed out)</w:t>
            </w:r>
          </w:p>
          <w:p w:rsidR="00000000" w:rsidDel="00000000" w:rsidP="00000000" w:rsidRDefault="00000000" w:rsidRPr="00000000">
            <w:pPr>
              <w:spacing w:after="0" w:before="0" w:line="360" w:lineRule="auto"/>
              <w:contextualSpacing w:val="0"/>
            </w:pPr>
            <w:r w:rsidDel="00000000" w:rsidR="00000000" w:rsidRPr="00000000">
              <w:rPr>
                <w:rtl w:val="0"/>
              </w:rPr>
            </w:r>
          </w:p>
        </w:tc>
      </w:tr>
      <w:tr>
        <w:tc>
          <w:tcPr/>
          <w:p w:rsidR="00000000" w:rsidDel="00000000" w:rsidP="00000000" w:rsidRDefault="00000000" w:rsidRPr="00000000">
            <w:pPr>
              <w:spacing w:line="360" w:lineRule="auto"/>
              <w:contextualSpacing w:val="0"/>
            </w:pPr>
            <w:r w:rsidDel="00000000" w:rsidR="00000000" w:rsidRPr="00000000">
              <w:rPr>
                <w:rFonts w:ascii="Arial" w:cs="Arial" w:eastAsia="Arial" w:hAnsi="Arial"/>
                <w:sz w:val="20"/>
                <w:szCs w:val="20"/>
                <w:rtl w:val="0"/>
              </w:rPr>
              <w:t xml:space="preserve">Further resources</w:t>
            </w:r>
          </w:p>
        </w:tc>
        <w:tc>
          <w:tcPr>
            <w:gridSpan w:val="2"/>
          </w:tcPr>
          <w:p w:rsidR="00000000" w:rsidDel="00000000" w:rsidP="00000000" w:rsidRDefault="00000000" w:rsidRPr="00000000">
            <w:pPr>
              <w:spacing w:line="360" w:lineRule="auto"/>
              <w:contextualSpacing w:val="0"/>
            </w:pPr>
            <w:hyperlink r:id="rId10">
              <w:r w:rsidDel="00000000" w:rsidR="00000000" w:rsidRPr="00000000">
                <w:rPr>
                  <w:rFonts w:ascii="Arial" w:cs="Arial" w:eastAsia="Arial" w:hAnsi="Arial"/>
                  <w:color w:val="1155cc"/>
                  <w:sz w:val="20"/>
                  <w:szCs w:val="20"/>
                  <w:u w:val="single"/>
                  <w:rtl w:val="0"/>
                </w:rPr>
                <w:t xml:space="preserve">http://hxlstandard.org/</w:t>
              </w:r>
            </w:hyperlink>
            <w:hyperlink r:id="rId11">
              <w:r w:rsidDel="00000000" w:rsidR="00000000" w:rsidRPr="00000000">
                <w:rPr>
                  <w:rtl w:val="0"/>
                </w:rPr>
              </w:r>
            </w:hyperlink>
          </w:p>
        </w:tc>
      </w:tr>
      <w:tr>
        <w:tc>
          <w:tcPr>
            <w:gridSpan w:val="3"/>
            <w:shd w:fill="f2f2f2"/>
          </w:tcPr>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sz w:val="20"/>
                <w:szCs w:val="20"/>
                <w:rtl w:val="0"/>
              </w:rPr>
              <w:t xml:space="preserve">Mini lesson plan</w:t>
            </w:r>
          </w:p>
        </w:tc>
      </w:tr>
      <w:tr>
        <w:tc>
          <w:tcPr/>
          <w:p w:rsidR="00000000" w:rsidDel="00000000" w:rsidP="00000000" w:rsidRDefault="00000000" w:rsidRPr="00000000">
            <w:pPr>
              <w:spacing w:line="360" w:lineRule="auto"/>
              <w:contextualSpacing w:val="0"/>
            </w:pPr>
            <w:r w:rsidDel="00000000" w:rsidR="00000000" w:rsidRPr="00000000">
              <w:rPr>
                <w:rFonts w:ascii="Arial" w:cs="Arial" w:eastAsia="Arial" w:hAnsi="Arial"/>
                <w:sz w:val="20"/>
                <w:szCs w:val="20"/>
                <w:rtl w:val="0"/>
              </w:rPr>
              <w:t xml:space="preserve">Start 00:00</w:t>
            </w:r>
          </w:p>
        </w:tc>
        <w:tc>
          <w:tcPr>
            <w:gridSpan w:val="2"/>
          </w:tcPr>
          <w:p w:rsidR="00000000" w:rsidDel="00000000" w:rsidP="00000000" w:rsidRDefault="00000000" w:rsidRPr="00000000">
            <w:pPr>
              <w:spacing w:line="360" w:lineRule="auto"/>
              <w:contextualSpacing w:val="0"/>
            </w:pPr>
            <w:r w:rsidDel="00000000" w:rsidR="00000000" w:rsidRPr="00000000">
              <w:rPr>
                <w:rFonts w:ascii="Arial" w:cs="Arial" w:eastAsia="Arial" w:hAnsi="Arial"/>
                <w:sz w:val="20"/>
                <w:szCs w:val="20"/>
                <w:rtl w:val="0"/>
              </w:rPr>
              <w:t xml:space="preserve">Introduce session objectives and outcomes</w:t>
            </w:r>
          </w:p>
        </w:tc>
      </w:tr>
      <w:tr>
        <w:tc>
          <w:tcPr/>
          <w:p w:rsidR="00000000" w:rsidDel="00000000" w:rsidP="00000000" w:rsidRDefault="00000000" w:rsidRPr="00000000">
            <w:pPr>
              <w:spacing w:line="360" w:lineRule="auto"/>
              <w:contextualSpacing w:val="0"/>
            </w:pPr>
            <w:r w:rsidDel="00000000" w:rsidR="00000000" w:rsidRPr="00000000">
              <w:rPr>
                <w:rFonts w:ascii="Arial" w:cs="Arial" w:eastAsia="Arial" w:hAnsi="Arial"/>
                <w:sz w:val="20"/>
                <w:szCs w:val="20"/>
                <w:rtl w:val="0"/>
              </w:rPr>
              <w:t xml:space="preserve">00:05</w:t>
            </w:r>
          </w:p>
        </w:tc>
        <w:tc>
          <w:tcPr>
            <w:gridSpan w:val="2"/>
          </w:tcPr>
          <w:p w:rsidR="00000000" w:rsidDel="00000000" w:rsidP="00000000" w:rsidRDefault="00000000" w:rsidRPr="00000000">
            <w:pPr>
              <w:spacing w:line="360" w:lineRule="auto"/>
              <w:contextualSpacing w:val="0"/>
            </w:pPr>
            <w:r w:rsidDel="00000000" w:rsidR="00000000" w:rsidRPr="00000000">
              <w:rPr>
                <w:rFonts w:ascii="Arial" w:cs="Arial" w:eastAsia="Arial" w:hAnsi="Arial"/>
                <w:sz w:val="20"/>
                <w:szCs w:val="20"/>
                <w:rtl w:val="0"/>
              </w:rPr>
              <w:t xml:space="preserve">Introduce HXL</w:t>
            </w:r>
          </w:p>
        </w:tc>
      </w:tr>
      <w:tr>
        <w:tc>
          <w:tcPr/>
          <w:p w:rsidR="00000000" w:rsidDel="00000000" w:rsidP="00000000" w:rsidRDefault="00000000" w:rsidRPr="00000000">
            <w:pPr>
              <w:spacing w:line="360" w:lineRule="auto"/>
              <w:contextualSpacing w:val="0"/>
            </w:pPr>
            <w:r w:rsidDel="00000000" w:rsidR="00000000" w:rsidRPr="00000000">
              <w:rPr>
                <w:rFonts w:ascii="Arial" w:cs="Arial" w:eastAsia="Arial" w:hAnsi="Arial"/>
                <w:sz w:val="20"/>
                <w:szCs w:val="20"/>
                <w:rtl w:val="0"/>
              </w:rPr>
              <w:t xml:space="preserve">00:10</w:t>
            </w:r>
          </w:p>
        </w:tc>
        <w:tc>
          <w:tcPr>
            <w:gridSpan w:val="2"/>
          </w:tcPr>
          <w:p w:rsidR="00000000" w:rsidDel="00000000" w:rsidP="00000000" w:rsidRDefault="00000000" w:rsidRPr="00000000">
            <w:pPr>
              <w:spacing w:line="360" w:lineRule="auto"/>
              <w:contextualSpacing w:val="0"/>
            </w:pPr>
            <w:r w:rsidDel="00000000" w:rsidR="00000000" w:rsidRPr="00000000">
              <w:rPr>
                <w:rFonts w:ascii="Arial" w:cs="Arial" w:eastAsia="Arial" w:hAnsi="Arial"/>
                <w:sz w:val="20"/>
                <w:szCs w:val="20"/>
                <w:rtl w:val="0"/>
              </w:rPr>
              <w:t xml:space="preserve">HXL postcard and quiz</w:t>
            </w:r>
          </w:p>
        </w:tc>
      </w:tr>
      <w:tr>
        <w:tc>
          <w:tcPr/>
          <w:p w:rsidR="00000000" w:rsidDel="00000000" w:rsidP="00000000" w:rsidRDefault="00000000" w:rsidRPr="00000000">
            <w:pPr>
              <w:spacing w:line="360" w:lineRule="auto"/>
              <w:contextualSpacing w:val="0"/>
            </w:pPr>
            <w:r w:rsidDel="00000000" w:rsidR="00000000" w:rsidRPr="00000000">
              <w:rPr>
                <w:rFonts w:ascii="Arial" w:cs="Arial" w:eastAsia="Arial" w:hAnsi="Arial"/>
                <w:sz w:val="20"/>
                <w:szCs w:val="20"/>
                <w:rtl w:val="0"/>
              </w:rPr>
              <w:t xml:space="preserve">00:20</w:t>
            </w:r>
          </w:p>
        </w:tc>
        <w:tc>
          <w:tcPr>
            <w:gridSpan w:val="2"/>
          </w:tcPr>
          <w:p w:rsidR="00000000" w:rsidDel="00000000" w:rsidP="00000000" w:rsidRDefault="00000000" w:rsidRPr="00000000">
            <w:pPr>
              <w:spacing w:line="360" w:lineRule="auto"/>
              <w:contextualSpacing w:val="0"/>
            </w:pPr>
            <w:r w:rsidDel="00000000" w:rsidR="00000000" w:rsidRPr="00000000">
              <w:rPr>
                <w:rFonts w:ascii="Arial" w:cs="Arial" w:eastAsia="Arial" w:hAnsi="Arial"/>
                <w:sz w:val="20"/>
                <w:szCs w:val="20"/>
                <w:rtl w:val="0"/>
              </w:rPr>
              <w:t xml:space="preserve">3W HXL-ation</w:t>
            </w:r>
          </w:p>
        </w:tc>
      </w:tr>
      <w:tr>
        <w:tc>
          <w:tcPr/>
          <w:p w:rsidR="00000000" w:rsidDel="00000000" w:rsidP="00000000" w:rsidRDefault="00000000" w:rsidRPr="00000000">
            <w:pPr>
              <w:spacing w:line="360" w:lineRule="auto"/>
              <w:contextualSpacing w:val="0"/>
            </w:pPr>
            <w:r w:rsidDel="00000000" w:rsidR="00000000" w:rsidRPr="00000000">
              <w:rPr>
                <w:rFonts w:ascii="Arial" w:cs="Arial" w:eastAsia="Arial" w:hAnsi="Arial"/>
                <w:sz w:val="20"/>
                <w:szCs w:val="20"/>
                <w:rtl w:val="0"/>
              </w:rPr>
              <w:t xml:space="preserve">00:35</w:t>
            </w:r>
          </w:p>
        </w:tc>
        <w:tc>
          <w:tcPr>
            <w:gridSpan w:val="2"/>
          </w:tcPr>
          <w:p w:rsidR="00000000" w:rsidDel="00000000" w:rsidP="00000000" w:rsidRDefault="00000000" w:rsidRPr="00000000">
            <w:pPr>
              <w:spacing w:line="360" w:lineRule="auto"/>
              <w:contextualSpacing w:val="0"/>
            </w:pPr>
            <w:r w:rsidDel="00000000" w:rsidR="00000000" w:rsidRPr="00000000">
              <w:rPr>
                <w:rFonts w:ascii="Arial" w:cs="Arial" w:eastAsia="Arial" w:hAnsi="Arial"/>
                <w:sz w:val="20"/>
                <w:szCs w:val="20"/>
                <w:rtl w:val="0"/>
              </w:rPr>
              <w:t xml:space="preserve">HXL website &amp; proxy tool introduction</w:t>
            </w:r>
          </w:p>
        </w:tc>
      </w:tr>
      <w:tr>
        <w:tc>
          <w:tcPr/>
          <w:p w:rsidR="00000000" w:rsidDel="00000000" w:rsidP="00000000" w:rsidRDefault="00000000" w:rsidRPr="00000000">
            <w:pPr>
              <w:spacing w:line="360" w:lineRule="auto"/>
              <w:contextualSpacing w:val="0"/>
            </w:pPr>
            <w:r w:rsidDel="00000000" w:rsidR="00000000" w:rsidRPr="00000000">
              <w:rPr>
                <w:rFonts w:ascii="Arial" w:cs="Arial" w:eastAsia="Arial" w:hAnsi="Arial"/>
                <w:sz w:val="20"/>
                <w:szCs w:val="20"/>
                <w:rtl w:val="0"/>
              </w:rPr>
              <w:t xml:space="preserve">End 00:50</w:t>
            </w:r>
          </w:p>
        </w:tc>
        <w:tc>
          <w:tcPr>
            <w:gridSpan w:val="2"/>
          </w:tcPr>
          <w:p w:rsidR="00000000" w:rsidDel="00000000" w:rsidP="00000000" w:rsidRDefault="00000000" w:rsidRPr="00000000">
            <w:pPr>
              <w:spacing w:line="360" w:lineRule="auto"/>
              <w:contextualSpacing w:val="0"/>
            </w:pPr>
            <w:r w:rsidDel="00000000" w:rsidR="00000000" w:rsidRPr="00000000">
              <w:rPr>
                <w:rFonts w:ascii="Arial" w:cs="Arial" w:eastAsia="Arial" w:hAnsi="Arial"/>
                <w:sz w:val="20"/>
                <w:szCs w:val="20"/>
                <w:rtl w:val="0"/>
              </w:rPr>
              <w:t xml:space="preserve">Participants instructed to move to next kiosk </w:t>
            </w:r>
          </w:p>
        </w:tc>
      </w:tr>
    </w:tbl>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Arial" w:cs="Arial" w:eastAsia="Arial" w:hAnsi="Arial"/>
          <w:sz w:val="20"/>
          <w:szCs w:val="20"/>
          <w:rtl w:val="0"/>
        </w:rPr>
        <w:t xml:space="preserve">Notes for facilitators:</w:t>
      </w:r>
    </w:p>
    <w:p w:rsidR="00000000" w:rsidDel="00000000" w:rsidP="00000000" w:rsidRDefault="00000000" w:rsidRPr="00000000">
      <w:pPr>
        <w:numPr>
          <w:ilvl w:val="0"/>
          <w:numId w:val="2"/>
        </w:numPr>
        <w:spacing w:after="200" w:before="0" w:line="360" w:lineRule="auto"/>
        <w:ind w:left="720" w:hanging="360"/>
        <w:contextualSpacing w:val="1"/>
        <w:rPr>
          <w:b w:val="0"/>
          <w:sz w:val="20"/>
          <w:szCs w:val="20"/>
        </w:rPr>
      </w:pPr>
      <w:r w:rsidDel="00000000" w:rsidR="00000000" w:rsidRPr="00000000">
        <w:rPr>
          <w:rFonts w:ascii="Arial" w:cs="Arial" w:eastAsia="Arial" w:hAnsi="Arial"/>
          <w:b w:val="0"/>
          <w:sz w:val="20"/>
          <w:szCs w:val="20"/>
          <w:rtl w:val="0"/>
        </w:rPr>
        <w:t xml:space="preserve">All Kiosks are 50 minutes; time will be called at the 25 minute mark and 5 minutes before the end. </w:t>
      </w:r>
    </w:p>
    <w:p w:rsidR="00000000" w:rsidDel="00000000" w:rsidP="00000000" w:rsidRDefault="00000000" w:rsidRPr="00000000">
      <w:pPr>
        <w:numPr>
          <w:ilvl w:val="0"/>
          <w:numId w:val="2"/>
        </w:numPr>
        <w:spacing w:after="200" w:before="0" w:line="360" w:lineRule="auto"/>
        <w:ind w:left="720" w:hanging="360"/>
        <w:contextualSpacing w:val="1"/>
        <w:rPr>
          <w:b w:val="0"/>
          <w:sz w:val="20"/>
          <w:szCs w:val="20"/>
        </w:rPr>
      </w:pPr>
      <w:r w:rsidDel="00000000" w:rsidR="00000000" w:rsidRPr="00000000">
        <w:rPr>
          <w:rFonts w:ascii="Arial" w:cs="Arial" w:eastAsia="Arial" w:hAnsi="Arial"/>
          <w:b w:val="0"/>
          <w:sz w:val="20"/>
          <w:szCs w:val="20"/>
          <w:rtl w:val="0"/>
        </w:rPr>
        <w:t xml:space="preserve">Skills from more than one session can be combined into one kiosk if they do not require much time. For example HXL can be integrated into the HDX or 3W sessions if it does not require 50 minutes. </w:t>
      </w:r>
    </w:p>
    <w:p w:rsidR="00000000" w:rsidDel="00000000" w:rsidP="00000000" w:rsidRDefault="00000000" w:rsidRPr="00000000">
      <w:pPr>
        <w:numPr>
          <w:ilvl w:val="0"/>
          <w:numId w:val="2"/>
        </w:numPr>
        <w:spacing w:after="200" w:before="0" w:line="360" w:lineRule="auto"/>
        <w:ind w:left="720" w:hanging="360"/>
        <w:contextualSpacing w:val="1"/>
        <w:rPr>
          <w:b w:val="0"/>
          <w:sz w:val="20"/>
          <w:szCs w:val="20"/>
        </w:rPr>
      </w:pPr>
      <w:r w:rsidDel="00000000" w:rsidR="00000000" w:rsidRPr="00000000">
        <w:rPr>
          <w:rFonts w:ascii="Arial" w:cs="Arial" w:eastAsia="Arial" w:hAnsi="Arial"/>
          <w:b w:val="0"/>
          <w:sz w:val="20"/>
          <w:szCs w:val="20"/>
          <w:rtl w:val="0"/>
        </w:rPr>
        <w:t xml:space="preserve">Each Kiosk station (i.e. where you and the participants sit) will be numbered (1-4 every day) to make it easier to move groups</w:t>
      </w:r>
    </w:p>
    <w:p w:rsidR="00000000" w:rsidDel="00000000" w:rsidP="00000000" w:rsidRDefault="00000000" w:rsidRPr="00000000">
      <w:pPr>
        <w:numPr>
          <w:ilvl w:val="0"/>
          <w:numId w:val="2"/>
        </w:numPr>
        <w:spacing w:after="200" w:before="0" w:line="360" w:lineRule="auto"/>
        <w:ind w:left="720" w:hanging="360"/>
        <w:contextualSpacing w:val="1"/>
        <w:rPr>
          <w:b w:val="0"/>
          <w:sz w:val="20"/>
          <w:szCs w:val="20"/>
        </w:rPr>
      </w:pPr>
      <w:r w:rsidDel="00000000" w:rsidR="00000000" w:rsidRPr="00000000">
        <w:rPr>
          <w:rFonts w:ascii="Arial" w:cs="Arial" w:eastAsia="Arial" w:hAnsi="Arial"/>
          <w:b w:val="0"/>
          <w:sz w:val="20"/>
          <w:szCs w:val="20"/>
          <w:rtl w:val="0"/>
        </w:rPr>
        <w:t xml:space="preserve">Participants will get 10 minutes between each kiosk to rotate out and take a break / coffee</w:t>
      </w:r>
    </w:p>
    <w:p w:rsidR="00000000" w:rsidDel="00000000" w:rsidP="00000000" w:rsidRDefault="00000000" w:rsidRPr="00000000">
      <w:pPr>
        <w:numPr>
          <w:ilvl w:val="0"/>
          <w:numId w:val="2"/>
        </w:numPr>
        <w:spacing w:after="200" w:before="0" w:line="360" w:lineRule="auto"/>
        <w:ind w:left="720" w:hanging="360"/>
        <w:contextualSpacing w:val="1"/>
        <w:rPr>
          <w:b w:val="0"/>
          <w:sz w:val="20"/>
          <w:szCs w:val="20"/>
        </w:rPr>
      </w:pPr>
      <w:r w:rsidDel="00000000" w:rsidR="00000000" w:rsidRPr="00000000">
        <w:rPr>
          <w:rFonts w:ascii="Arial" w:cs="Arial" w:eastAsia="Arial" w:hAnsi="Arial"/>
          <w:b w:val="0"/>
          <w:sz w:val="20"/>
          <w:szCs w:val="20"/>
          <w:rtl w:val="0"/>
        </w:rPr>
        <w:t xml:space="preserve">Participants will receive a version of this document compiled into one booklet outlining what skills they will learn at each kiosk, how this will be measured and further resources. </w:t>
      </w:r>
    </w:p>
    <w:p w:rsidR="00000000" w:rsidDel="00000000" w:rsidP="00000000" w:rsidRDefault="00000000" w:rsidRPr="00000000">
      <w:pPr>
        <w:spacing w:after="200" w:before="0" w:line="360" w:lineRule="auto"/>
        <w:ind w:left="720" w:firstLine="0"/>
        <w:contextualSpacing w:val="0"/>
      </w:pPr>
      <w:r w:rsidDel="00000000" w:rsidR="00000000" w:rsidRPr="00000000">
        <w:rPr>
          <w:rtl w:val="0"/>
        </w:rPr>
      </w:r>
    </w:p>
    <w:sectPr>
      <w:pgSz w:h="16838" w:w="11906"/>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s://www.youtube.com/watch?v=_650ynFgluI" TargetMode="External"/><Relationship Id="rId10" Type="http://schemas.openxmlformats.org/officeDocument/2006/relationships/hyperlink" Target="http://hxlstandard.org/" TargetMode="External"/><Relationship Id="rId9" Type="http://schemas.openxmlformats.org/officeDocument/2006/relationships/hyperlink" Target="https://docs.google.com/presentation/d/1Vk5Z5Jr7I5t_GOZjJ5XdlzrN2QH-lPU2Pa4XaOevrIM/edit?usp=sharing" TargetMode="External"/><Relationship Id="rId5" Type="http://schemas.openxmlformats.org/officeDocument/2006/relationships/hyperlink" Target="https://drive.google.com/open?id=1OsHF70fzj3k5ACue9M5tg7na0g9tOBgD8L412MxhkfQ" TargetMode="External"/><Relationship Id="rId6" Type="http://schemas.openxmlformats.org/officeDocument/2006/relationships/hyperlink" Target="https://docs.google.com/document/d/1wAAHQxfE2hfnp1hZn9UDi-NIRTmQDKPXiAnC3s9cC3g/edit?usp=sharing" TargetMode="External"/><Relationship Id="rId7" Type="http://schemas.openxmlformats.org/officeDocument/2006/relationships/hyperlink" Target="https://docs.google.com/spreadsheets/d/16yC70fmOKNPHcypkcRePEUAXy-tKvLsFf84Eyjzlt74/edit?usp=sharing" TargetMode="External"/><Relationship Id="rId8" Type="http://schemas.openxmlformats.org/officeDocument/2006/relationships/hyperlink" Target="https://docs.google.com/spreadsheets/d/1n7rrGedhmXNQNrxTfGu6VBlPkdXDgEHuZer7mkFyjYI/edit?usp=sharing" TargetMode="External"/></Relationships>
</file>